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05"/>
        <w:gridCol w:w="396"/>
        <w:gridCol w:w="4108"/>
        <w:gridCol w:w="4077"/>
      </w:tblGrid>
      <w:tr w:rsidR="00EF7A94" w:rsidRPr="00171039" w:rsidTr="00A864F3">
        <w:trPr>
          <w:trHeight w:val="1230"/>
        </w:trPr>
        <w:tc>
          <w:tcPr>
            <w:tcW w:w="1101" w:type="dxa"/>
            <w:gridSpan w:val="2"/>
            <w:noWrap/>
            <w:hideMark/>
          </w:tcPr>
          <w:p w:rsidR="00EF7A94" w:rsidRPr="00171039" w:rsidRDefault="00EF7A94">
            <w:pPr>
              <w:rPr>
                <w:rFonts w:ascii="Times New Roman" w:hAnsi="Times New Roman" w:cs="Times New Roman"/>
              </w:rPr>
            </w:pPr>
            <w:r w:rsidRPr="00171039">
              <w:rPr>
                <w:rFonts w:ascii="Times New Roman" w:hAnsi="Times New Roman" w:cs="Times New Roman"/>
                <w:noProof/>
                <w:lang w:eastAsia="hr-HR"/>
              </w:rPr>
              <w:drawing>
                <wp:anchor distT="0" distB="0" distL="114300" distR="114300" simplePos="0" relativeHeight="251662336" behindDoc="0" locked="0" layoutInCell="1" allowOverlap="1" wp14:anchorId="6F571E8C" wp14:editId="7C3BDC90">
                  <wp:simplePos x="0" y="0"/>
                  <wp:positionH relativeFrom="column">
                    <wp:posOffset>81280</wp:posOffset>
                  </wp:positionH>
                  <wp:positionV relativeFrom="paragraph">
                    <wp:posOffset>74929</wp:posOffset>
                  </wp:positionV>
                  <wp:extent cx="276225" cy="371475"/>
                  <wp:effectExtent l="0" t="0" r="9525" b="9525"/>
                  <wp:wrapNone/>
                  <wp:docPr id="4" name="Slika 4"/>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371475"/>
                          </a:xfrm>
                          <a:prstGeom prst="rect">
                            <a:avLst/>
                          </a:prstGeom>
                          <a:noFill/>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85"/>
            </w:tblGrid>
            <w:tr w:rsidR="00EF7A94" w:rsidRPr="00171039">
              <w:trPr>
                <w:trHeight w:val="1230"/>
                <w:tblCellSpacing w:w="0" w:type="dxa"/>
              </w:trPr>
              <w:tc>
                <w:tcPr>
                  <w:tcW w:w="920" w:type="dxa"/>
                  <w:tcBorders>
                    <w:top w:val="nil"/>
                    <w:left w:val="nil"/>
                    <w:bottom w:val="nil"/>
                    <w:right w:val="nil"/>
                  </w:tcBorders>
                  <w:shd w:val="clear" w:color="auto" w:fill="auto"/>
                  <w:vAlign w:val="center"/>
                  <w:hideMark/>
                </w:tcPr>
                <w:p w:rsidR="00EF7A94" w:rsidRPr="00171039" w:rsidRDefault="00EF7A94">
                  <w:pPr>
                    <w:rPr>
                      <w:rFonts w:ascii="Times New Roman" w:hAnsi="Times New Roman" w:cs="Times New Roman"/>
                    </w:rPr>
                  </w:pPr>
                  <w:bookmarkStart w:id="0" w:name="RANGE!A1:C15"/>
                  <w:bookmarkEnd w:id="0"/>
                  <w:r w:rsidRPr="00171039">
                    <w:rPr>
                      <w:rFonts w:ascii="Times New Roman" w:hAnsi="Times New Roman" w:cs="Times New Roman"/>
                      <w:noProof/>
                      <w:lang w:eastAsia="hr-HR"/>
                    </w:rPr>
                    <w:drawing>
                      <wp:anchor distT="0" distB="0" distL="114300" distR="114300" simplePos="0" relativeHeight="251663360" behindDoc="0" locked="0" layoutInCell="1" allowOverlap="1" wp14:anchorId="1F897C52" wp14:editId="787320F0">
                        <wp:simplePos x="0" y="0"/>
                        <wp:positionH relativeFrom="column">
                          <wp:posOffset>285115</wp:posOffset>
                        </wp:positionH>
                        <wp:positionV relativeFrom="paragraph">
                          <wp:posOffset>154305</wp:posOffset>
                        </wp:positionV>
                        <wp:extent cx="247650" cy="304800"/>
                        <wp:effectExtent l="0" t="0" r="0" b="0"/>
                        <wp:wrapNone/>
                        <wp:docPr id="5" name="Slika 5" descr="http://web.zpr.fer.hr/ergonomija/2004/hendija/slike/grb_zg.gif"/>
                        <wp:cNvGraphicFramePr/>
                        <a:graphic xmlns:a="http://schemas.openxmlformats.org/drawingml/2006/main">
                          <a:graphicData uri="http://schemas.openxmlformats.org/drawingml/2006/picture">
                            <pic:pic xmlns:pic="http://schemas.openxmlformats.org/drawingml/2006/picture">
                              <pic:nvPicPr>
                                <pic:cNvPr id="5" name="irc_mi" descr="http://web.zpr.fer.hr/ergonomija/2004/hendija/slike/grb_zg.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47650" cy="304800"/>
                                </a:xfrm>
                                <a:prstGeom prst="rect">
                                  <a:avLst/>
                                </a:prstGeom>
                                <a:noFill/>
                                <a:extLst/>
                              </pic:spPr>
                            </pic:pic>
                          </a:graphicData>
                        </a:graphic>
                        <wp14:sizeRelH relativeFrom="page">
                          <wp14:pctWidth>0</wp14:pctWidth>
                        </wp14:sizeRelH>
                        <wp14:sizeRelV relativeFrom="page">
                          <wp14:pctHeight>0</wp14:pctHeight>
                        </wp14:sizeRelV>
                      </wp:anchor>
                    </w:drawing>
                  </w:r>
                </w:p>
              </w:tc>
            </w:tr>
          </w:tbl>
          <w:p w:rsidR="00EF7A94" w:rsidRPr="00171039" w:rsidRDefault="00EF7A94">
            <w:pPr>
              <w:rPr>
                <w:rFonts w:ascii="Times New Roman" w:hAnsi="Times New Roman" w:cs="Times New Roman"/>
              </w:rPr>
            </w:pPr>
          </w:p>
        </w:tc>
        <w:tc>
          <w:tcPr>
            <w:tcW w:w="8185" w:type="dxa"/>
            <w:gridSpan w:val="2"/>
            <w:hideMark/>
          </w:tcPr>
          <w:p w:rsidR="00EF7A94" w:rsidRPr="00EF7A94" w:rsidRDefault="00EF7A94">
            <w:pPr>
              <w:rPr>
                <w:rFonts w:ascii="Times New Roman" w:hAnsi="Times New Roman" w:cs="Times New Roman"/>
                <w:iCs/>
              </w:rPr>
            </w:pPr>
            <w:r w:rsidRPr="00EF7A94">
              <w:rPr>
                <w:rFonts w:ascii="Times New Roman" w:hAnsi="Times New Roman" w:cs="Times New Roman"/>
                <w:iCs/>
              </w:rPr>
              <w:t xml:space="preserve">REPUBLIKA HRVATSKA                            </w:t>
            </w:r>
          </w:p>
          <w:p w:rsidR="00EF7A94" w:rsidRPr="00EF7A94" w:rsidRDefault="00EF7A94">
            <w:pPr>
              <w:rPr>
                <w:rFonts w:ascii="Times New Roman" w:hAnsi="Times New Roman" w:cs="Times New Roman"/>
                <w:iCs/>
              </w:rPr>
            </w:pPr>
            <w:r w:rsidRPr="00EF7A94">
              <w:rPr>
                <w:rFonts w:ascii="Times New Roman" w:hAnsi="Times New Roman" w:cs="Times New Roman"/>
                <w:b/>
                <w:bCs/>
                <w:iCs/>
              </w:rPr>
              <w:t xml:space="preserve">GRAD ZAGREB         </w:t>
            </w:r>
            <w:r w:rsidRPr="00EF7A94">
              <w:rPr>
                <w:rFonts w:ascii="Times New Roman" w:hAnsi="Times New Roman" w:cs="Times New Roman"/>
                <w:iCs/>
              </w:rPr>
              <w:t xml:space="preserve">                                      </w:t>
            </w:r>
          </w:p>
          <w:p w:rsidR="00EF7A94" w:rsidRPr="00EF7A94" w:rsidRDefault="00EF7A94">
            <w:pPr>
              <w:rPr>
                <w:rFonts w:ascii="Times New Roman" w:hAnsi="Times New Roman" w:cs="Times New Roman"/>
                <w:iCs/>
              </w:rPr>
            </w:pPr>
            <w:r w:rsidRPr="00EF7A94">
              <w:rPr>
                <w:rFonts w:ascii="Times New Roman" w:hAnsi="Times New Roman" w:cs="Times New Roman"/>
                <w:iCs/>
              </w:rPr>
              <w:t>URED ZA JAVNU NABAVU</w:t>
            </w:r>
          </w:p>
          <w:p w:rsidR="00E73B51" w:rsidRDefault="00E73B51">
            <w:pPr>
              <w:rPr>
                <w:rFonts w:ascii="Times New Roman" w:hAnsi="Times New Roman" w:cs="Times New Roman"/>
                <w:iCs/>
              </w:rPr>
            </w:pPr>
          </w:p>
          <w:p w:rsidR="00EF7A94" w:rsidRPr="00171039" w:rsidRDefault="00EF7A94" w:rsidP="00A94A02">
            <w:pPr>
              <w:rPr>
                <w:rFonts w:ascii="Times New Roman" w:hAnsi="Times New Roman" w:cs="Times New Roman"/>
                <w:i/>
                <w:iCs/>
              </w:rPr>
            </w:pPr>
            <w:r w:rsidRPr="00EF7A94">
              <w:rPr>
                <w:rFonts w:ascii="Times New Roman" w:hAnsi="Times New Roman" w:cs="Times New Roman"/>
                <w:iCs/>
              </w:rPr>
              <w:t>U Zagrebu,</w:t>
            </w:r>
            <w:r w:rsidR="00503EDE">
              <w:rPr>
                <w:rFonts w:ascii="Times New Roman" w:hAnsi="Times New Roman" w:cs="Times New Roman"/>
                <w:iCs/>
              </w:rPr>
              <w:t xml:space="preserve"> </w:t>
            </w:r>
            <w:r w:rsidR="00801F6D">
              <w:rPr>
                <w:rFonts w:ascii="Times New Roman" w:hAnsi="Times New Roman" w:cs="Times New Roman"/>
                <w:iCs/>
              </w:rPr>
              <w:t>2</w:t>
            </w:r>
            <w:r w:rsidR="00A94A02">
              <w:rPr>
                <w:rFonts w:ascii="Times New Roman" w:hAnsi="Times New Roman" w:cs="Times New Roman"/>
                <w:iCs/>
              </w:rPr>
              <w:t>4</w:t>
            </w:r>
            <w:r w:rsidR="00EB1383">
              <w:rPr>
                <w:rFonts w:ascii="Times New Roman" w:hAnsi="Times New Roman" w:cs="Times New Roman"/>
                <w:iCs/>
              </w:rPr>
              <w:t>.</w:t>
            </w:r>
            <w:r w:rsidR="000D174D">
              <w:rPr>
                <w:rFonts w:ascii="Times New Roman" w:hAnsi="Times New Roman" w:cs="Times New Roman"/>
                <w:iCs/>
              </w:rPr>
              <w:t xml:space="preserve"> </w:t>
            </w:r>
            <w:r w:rsidR="00801F6D">
              <w:rPr>
                <w:rFonts w:ascii="Times New Roman" w:hAnsi="Times New Roman" w:cs="Times New Roman"/>
                <w:iCs/>
              </w:rPr>
              <w:t>studenoga</w:t>
            </w:r>
            <w:r w:rsidR="00E73B51">
              <w:rPr>
                <w:rFonts w:ascii="Times New Roman" w:hAnsi="Times New Roman" w:cs="Times New Roman"/>
                <w:iCs/>
              </w:rPr>
              <w:t xml:space="preserve"> 2017.</w:t>
            </w:r>
          </w:p>
        </w:tc>
      </w:tr>
      <w:tr w:rsidR="00171039" w:rsidRPr="00171039" w:rsidTr="00A864F3">
        <w:trPr>
          <w:trHeight w:val="1230"/>
        </w:trPr>
        <w:tc>
          <w:tcPr>
            <w:tcW w:w="9286" w:type="dxa"/>
            <w:gridSpan w:val="4"/>
            <w:vAlign w:val="center"/>
            <w:hideMark/>
          </w:tcPr>
          <w:p w:rsidR="0008171A" w:rsidRPr="0008171A" w:rsidRDefault="0008171A" w:rsidP="0008171A">
            <w:pPr>
              <w:jc w:val="center"/>
              <w:rPr>
                <w:rFonts w:ascii="Times New Roman" w:hAnsi="Times New Roman" w:cs="Times New Roman"/>
              </w:rPr>
            </w:pPr>
          </w:p>
          <w:p w:rsidR="0008171A" w:rsidRPr="00222CDF" w:rsidRDefault="0008171A" w:rsidP="0008171A">
            <w:pPr>
              <w:jc w:val="center"/>
              <w:rPr>
                <w:rFonts w:ascii="Times New Roman" w:hAnsi="Times New Roman" w:cs="Times New Roman"/>
                <w:color w:val="FF0000"/>
              </w:rPr>
            </w:pPr>
            <w:r w:rsidRPr="0008171A">
              <w:rPr>
                <w:rFonts w:ascii="Times New Roman" w:hAnsi="Times New Roman" w:cs="Times New Roman"/>
              </w:rPr>
              <w:t xml:space="preserve">Na temelju članka 198. Zakona o javnoj nabavi (NN br. 120/2016), Grad Zagreb nastavno na objavljeni nacrt Dokumentacije o nabavi za predmet nabave </w:t>
            </w:r>
            <w:r w:rsidR="00801F6D" w:rsidRPr="00801F6D">
              <w:rPr>
                <w:rFonts w:ascii="Times New Roman" w:hAnsi="Times New Roman" w:cs="Times New Roman"/>
                <w:b/>
                <w:color w:val="000000" w:themeColor="text1"/>
              </w:rPr>
              <w:t>Opremanje prostora Doma za starije osobe Sveta Ana</w:t>
            </w:r>
            <w:r w:rsidR="00383570" w:rsidRPr="00383570">
              <w:rPr>
                <w:rFonts w:ascii="Times New Roman" w:hAnsi="Times New Roman" w:cs="Times New Roman"/>
                <w:b/>
                <w:color w:val="000000" w:themeColor="text1"/>
              </w:rPr>
              <w:t xml:space="preserve">, </w:t>
            </w:r>
            <w:r w:rsidR="00383570" w:rsidRPr="00383570">
              <w:rPr>
                <w:rFonts w:ascii="Times New Roman" w:hAnsi="Times New Roman" w:cs="Times New Roman"/>
                <w:color w:val="000000" w:themeColor="text1"/>
              </w:rPr>
              <w:t>evidencijski broj nabave</w:t>
            </w:r>
            <w:r w:rsidR="00383570" w:rsidRPr="00383570">
              <w:rPr>
                <w:rFonts w:ascii="Times New Roman" w:hAnsi="Times New Roman" w:cs="Times New Roman"/>
                <w:b/>
                <w:color w:val="000000" w:themeColor="text1"/>
              </w:rPr>
              <w:t xml:space="preserve">: </w:t>
            </w:r>
            <w:r w:rsidR="00760A6E">
              <w:rPr>
                <w:rFonts w:ascii="Times New Roman" w:hAnsi="Times New Roman" w:cs="Times New Roman"/>
                <w:b/>
                <w:color w:val="000000" w:themeColor="text1"/>
              </w:rPr>
              <w:t>1</w:t>
            </w:r>
            <w:r w:rsidR="00801F6D">
              <w:rPr>
                <w:rFonts w:ascii="Times New Roman" w:hAnsi="Times New Roman" w:cs="Times New Roman"/>
                <w:b/>
                <w:color w:val="000000" w:themeColor="text1"/>
              </w:rPr>
              <w:t>709</w:t>
            </w:r>
            <w:r w:rsidR="00BC63AC">
              <w:rPr>
                <w:rFonts w:ascii="Times New Roman" w:hAnsi="Times New Roman" w:cs="Times New Roman"/>
                <w:b/>
                <w:color w:val="000000" w:themeColor="text1"/>
              </w:rPr>
              <w:t>-2017-E</w:t>
            </w:r>
            <w:r w:rsidR="00801F6D">
              <w:rPr>
                <w:rFonts w:ascii="Times New Roman" w:hAnsi="Times New Roman" w:cs="Times New Roman"/>
                <w:b/>
                <w:color w:val="000000" w:themeColor="text1"/>
              </w:rPr>
              <w:t>V</w:t>
            </w:r>
            <w:r w:rsidR="00BC63AC">
              <w:rPr>
                <w:rFonts w:ascii="Times New Roman" w:hAnsi="Times New Roman" w:cs="Times New Roman"/>
                <w:b/>
                <w:color w:val="000000" w:themeColor="text1"/>
              </w:rPr>
              <w:t>V</w:t>
            </w:r>
            <w:r w:rsidR="00383570" w:rsidRPr="00383570">
              <w:rPr>
                <w:rFonts w:ascii="Times New Roman" w:hAnsi="Times New Roman" w:cs="Times New Roman"/>
                <w:b/>
                <w:color w:val="000000" w:themeColor="text1"/>
              </w:rPr>
              <w:t xml:space="preserve"> </w:t>
            </w:r>
            <w:r w:rsidR="00383570" w:rsidRPr="00383570">
              <w:rPr>
                <w:rFonts w:ascii="Times New Roman" w:hAnsi="Times New Roman" w:cs="Times New Roman"/>
                <w:color w:val="000000" w:themeColor="text1"/>
              </w:rPr>
              <w:t>objavljuje</w:t>
            </w:r>
          </w:p>
          <w:p w:rsidR="00A97147" w:rsidRPr="00171039" w:rsidRDefault="00A97147" w:rsidP="00CD6B24">
            <w:pPr>
              <w:jc w:val="center"/>
              <w:rPr>
                <w:rFonts w:ascii="Times New Roman" w:hAnsi="Times New Roman" w:cs="Times New Roman"/>
              </w:rPr>
            </w:pPr>
          </w:p>
        </w:tc>
      </w:tr>
      <w:tr w:rsidR="00171039" w:rsidRPr="00171039" w:rsidTr="00A864F3">
        <w:trPr>
          <w:trHeight w:val="677"/>
        </w:trPr>
        <w:tc>
          <w:tcPr>
            <w:tcW w:w="9286" w:type="dxa"/>
            <w:gridSpan w:val="4"/>
            <w:vAlign w:val="center"/>
            <w:hideMark/>
          </w:tcPr>
          <w:p w:rsidR="00171039" w:rsidRPr="00171039" w:rsidRDefault="00171039" w:rsidP="00171039">
            <w:pPr>
              <w:jc w:val="center"/>
              <w:rPr>
                <w:rFonts w:ascii="Times New Roman" w:hAnsi="Times New Roman" w:cs="Times New Roman"/>
                <w:b/>
                <w:bCs/>
              </w:rPr>
            </w:pPr>
            <w:r w:rsidRPr="00171039">
              <w:rPr>
                <w:rFonts w:ascii="Times New Roman" w:hAnsi="Times New Roman" w:cs="Times New Roman"/>
                <w:b/>
                <w:bCs/>
              </w:rPr>
              <w:t>Izvješće o prethodnom savjetovanju u odnosu na Nacrt Dokumentacije o nabavi</w:t>
            </w:r>
          </w:p>
        </w:tc>
      </w:tr>
      <w:tr w:rsidR="00CB72C6" w:rsidRPr="00171039" w:rsidTr="00A864F3">
        <w:trPr>
          <w:trHeight w:val="795"/>
        </w:trPr>
        <w:tc>
          <w:tcPr>
            <w:tcW w:w="705" w:type="dxa"/>
            <w:noWrap/>
            <w:vAlign w:val="center"/>
            <w:hideMark/>
          </w:tcPr>
          <w:p w:rsidR="00CB72C6" w:rsidRPr="00171039" w:rsidRDefault="00CB72C6" w:rsidP="00EF3B04">
            <w:pPr>
              <w:jc w:val="center"/>
              <w:rPr>
                <w:rFonts w:ascii="Times New Roman" w:hAnsi="Times New Roman" w:cs="Times New Roman"/>
                <w:b/>
                <w:bCs/>
              </w:rPr>
            </w:pPr>
            <w:r w:rsidRPr="00171039">
              <w:rPr>
                <w:rFonts w:ascii="Times New Roman" w:hAnsi="Times New Roman" w:cs="Times New Roman"/>
                <w:b/>
                <w:bCs/>
              </w:rPr>
              <w:t>R.br.</w:t>
            </w:r>
          </w:p>
        </w:tc>
        <w:tc>
          <w:tcPr>
            <w:tcW w:w="4504" w:type="dxa"/>
            <w:gridSpan w:val="2"/>
            <w:vAlign w:val="center"/>
            <w:hideMark/>
          </w:tcPr>
          <w:p w:rsidR="00CB72C6" w:rsidRPr="00171039" w:rsidRDefault="00CB72C6" w:rsidP="00EF3B04">
            <w:pPr>
              <w:jc w:val="center"/>
              <w:rPr>
                <w:rFonts w:ascii="Times New Roman" w:hAnsi="Times New Roman" w:cs="Times New Roman"/>
                <w:b/>
                <w:bCs/>
              </w:rPr>
            </w:pPr>
            <w:r w:rsidRPr="00171039">
              <w:rPr>
                <w:rFonts w:ascii="Times New Roman" w:hAnsi="Times New Roman" w:cs="Times New Roman"/>
                <w:b/>
                <w:bCs/>
              </w:rPr>
              <w:t>Primjedbe i prijedlozi gospodarskih subjekata</w:t>
            </w:r>
          </w:p>
        </w:tc>
        <w:tc>
          <w:tcPr>
            <w:tcW w:w="4077" w:type="dxa"/>
            <w:vAlign w:val="center"/>
            <w:hideMark/>
          </w:tcPr>
          <w:p w:rsidR="00CB72C6" w:rsidRPr="00171039" w:rsidRDefault="00CB72C6" w:rsidP="00EF3B04">
            <w:pPr>
              <w:jc w:val="center"/>
              <w:rPr>
                <w:rFonts w:ascii="Times New Roman" w:hAnsi="Times New Roman" w:cs="Times New Roman"/>
                <w:b/>
                <w:bCs/>
              </w:rPr>
            </w:pPr>
            <w:r w:rsidRPr="00171039">
              <w:rPr>
                <w:rFonts w:ascii="Times New Roman" w:hAnsi="Times New Roman" w:cs="Times New Roman"/>
                <w:b/>
                <w:bCs/>
              </w:rPr>
              <w:t>Izvješće o prihvaćenim i neprihvaćenim primjedbama i prijedlozima</w:t>
            </w:r>
          </w:p>
        </w:tc>
      </w:tr>
      <w:tr w:rsidR="00CB72C6" w:rsidRPr="00171039" w:rsidTr="00A864F3">
        <w:trPr>
          <w:trHeight w:val="1965"/>
        </w:trPr>
        <w:tc>
          <w:tcPr>
            <w:tcW w:w="705" w:type="dxa"/>
            <w:vMerge w:val="restart"/>
            <w:noWrap/>
          </w:tcPr>
          <w:p w:rsidR="00CB72C6" w:rsidRPr="00171039" w:rsidRDefault="00EF3B04" w:rsidP="00EF3B04">
            <w:pPr>
              <w:rPr>
                <w:rFonts w:ascii="Times New Roman" w:hAnsi="Times New Roman" w:cs="Times New Roman"/>
              </w:rPr>
            </w:pPr>
            <w:r>
              <w:rPr>
                <w:rFonts w:ascii="Times New Roman" w:hAnsi="Times New Roman" w:cs="Times New Roman"/>
              </w:rPr>
              <w:t>1.</w:t>
            </w:r>
          </w:p>
        </w:tc>
        <w:tc>
          <w:tcPr>
            <w:tcW w:w="4504" w:type="dxa"/>
            <w:gridSpan w:val="2"/>
            <w:vMerge w:val="restart"/>
          </w:tcPr>
          <w:p w:rsidR="006A48B0" w:rsidRDefault="006A48B0" w:rsidP="006A48B0">
            <w:pPr>
              <w:pStyle w:val="Default"/>
            </w:pPr>
          </w:p>
          <w:p w:rsidR="006A48B0" w:rsidRDefault="006A48B0" w:rsidP="006A48B0">
            <w:pPr>
              <w:pStyle w:val="Default"/>
            </w:pPr>
            <w:r>
              <w:t>Grupa 1., Namještaj soba korisnika</w:t>
            </w:r>
          </w:p>
          <w:p w:rsidR="006A48B0" w:rsidRDefault="006A48B0" w:rsidP="006A48B0">
            <w:pPr>
              <w:pStyle w:val="Default"/>
            </w:pPr>
          </w:p>
          <w:p w:rsidR="00096F73" w:rsidRPr="00171039" w:rsidRDefault="006A48B0" w:rsidP="006A48B0">
            <w:pPr>
              <w:pStyle w:val="Default"/>
            </w:pPr>
            <w:r>
              <w:t>Sukladno tekstu u troškovniku „opći uvjeti – oprema“, gdje postoji podjela na industrijski proizvedene komade opreme i opreme koja se radi po specifičnim zahtjevima projekta (naručitelja), ovim putem molimo da se grupa 1., Namještaj soba korisnika, rasporedi na barem dvije grupe. U prvu grupu predlažemo artikle pod rednim brojevima 1.01., 1.02. te 1.03., s obzirom da se radi o standardiziranim industrijskim artiklima koje u asortimanu na tržištu ima veliki broj gospodarskih subjekata. U tom slučaju bi se postigao efekt većeg broja ponuđača i naručitelj bi ostvario nabavu jednako kvalitetnih proizvoda po nižoj tržišnoj cijeni.  Također, predlažemo da preostale stavke od rednog broja 1.04. do 1.11. ostanu u samostalnoj grupi, s obzirom da je u specifikaciji vidljivo da se radi o specijalnoj izradi artikala za potrebe doma, gdje veliki broj ponuđača na tržištu nije u mogućnosti zadovoljiti detalje tehničke specifikacije, naročito vezane uz materijale i detalje izrade pojedinih artikala.</w:t>
            </w:r>
          </w:p>
        </w:tc>
        <w:tc>
          <w:tcPr>
            <w:tcW w:w="4077" w:type="dxa"/>
            <w:vMerge w:val="restart"/>
            <w:noWrap/>
          </w:tcPr>
          <w:p w:rsidR="00EA03A0" w:rsidRDefault="00C13EB9" w:rsidP="00222CDF">
            <w:pPr>
              <w:jc w:val="both"/>
              <w:rPr>
                <w:rFonts w:ascii="Times New Roman" w:hAnsi="Times New Roman" w:cs="Times New Roman"/>
              </w:rPr>
            </w:pPr>
            <w:r>
              <w:rPr>
                <w:rFonts w:ascii="Times New Roman" w:hAnsi="Times New Roman" w:cs="Times New Roman"/>
              </w:rPr>
              <w:t xml:space="preserve">U objavljenoj dokumentaciji o nabavi navedeno je kako nije dozvoljeno nuđenje po grupama ili dijelovima predmeta nabave uz obrazloženje kako predmet </w:t>
            </w:r>
            <w:r w:rsidRPr="00C13EB9">
              <w:rPr>
                <w:rFonts w:ascii="Times New Roman" w:hAnsi="Times New Roman" w:cs="Times New Roman"/>
              </w:rPr>
              <w:t>nabave nije podijeljen u grupe zato što oprema koja je obuhvaćena troškovnikom predstavlja nedjeljivu cjelinu aktivnosti koje se međusobno (ponekad djelomično ili u cijelosti) preklapaju, nadopunjuju, nadovezuju i ovise jedna o drugoj, a sve rezultira jednim funkcionalno uređenim prostorom.</w:t>
            </w:r>
            <w:r>
              <w:rPr>
                <w:rFonts w:ascii="Times New Roman" w:hAnsi="Times New Roman" w:cs="Times New Roman"/>
              </w:rPr>
              <w:t xml:space="preserve"> </w:t>
            </w:r>
          </w:p>
          <w:p w:rsidR="00C13EB9" w:rsidRDefault="00C13EB9" w:rsidP="00222CDF">
            <w:pPr>
              <w:jc w:val="both"/>
              <w:rPr>
                <w:rFonts w:ascii="Times New Roman" w:hAnsi="Times New Roman" w:cs="Times New Roman"/>
              </w:rPr>
            </w:pPr>
            <w:r>
              <w:rPr>
                <w:rFonts w:ascii="Times New Roman" w:hAnsi="Times New Roman" w:cs="Times New Roman"/>
              </w:rPr>
              <w:t>Također u stavkama 1.09. – 1.11. se ne radi o specijalnoj izradi artikala za potrebe Doma već se radi o standardnim artiklima.</w:t>
            </w:r>
          </w:p>
          <w:p w:rsidR="00111369" w:rsidRPr="00171039" w:rsidRDefault="00111369" w:rsidP="00222CDF">
            <w:pPr>
              <w:jc w:val="both"/>
              <w:rPr>
                <w:rFonts w:ascii="Times New Roman" w:hAnsi="Times New Roman" w:cs="Times New Roman"/>
              </w:rPr>
            </w:pPr>
            <w:r>
              <w:rPr>
                <w:rFonts w:ascii="Times New Roman" w:hAnsi="Times New Roman" w:cs="Times New Roman"/>
              </w:rPr>
              <w:t>Iz navedenih razloga se ne prihvaća prijedlog o podjeli na grupe stavki iz cjeline ''namještaj soba korisnika''.</w:t>
            </w:r>
          </w:p>
        </w:tc>
      </w:tr>
      <w:tr w:rsidR="00CB72C6" w:rsidRPr="00171039" w:rsidTr="00A864F3">
        <w:trPr>
          <w:trHeight w:val="253"/>
        </w:trPr>
        <w:tc>
          <w:tcPr>
            <w:tcW w:w="705" w:type="dxa"/>
            <w:vMerge/>
            <w:hideMark/>
          </w:tcPr>
          <w:p w:rsidR="00CB72C6" w:rsidRPr="00171039" w:rsidRDefault="00CB72C6" w:rsidP="00EF3B04">
            <w:pPr>
              <w:rPr>
                <w:rFonts w:ascii="Times New Roman" w:hAnsi="Times New Roman" w:cs="Times New Roman"/>
              </w:rPr>
            </w:pPr>
          </w:p>
        </w:tc>
        <w:tc>
          <w:tcPr>
            <w:tcW w:w="4504" w:type="dxa"/>
            <w:gridSpan w:val="2"/>
            <w:vMerge/>
            <w:hideMark/>
          </w:tcPr>
          <w:p w:rsidR="00CB72C6" w:rsidRPr="00171039" w:rsidRDefault="00CB72C6" w:rsidP="00EF3B04">
            <w:pPr>
              <w:rPr>
                <w:rFonts w:ascii="Times New Roman" w:hAnsi="Times New Roman" w:cs="Times New Roman"/>
              </w:rPr>
            </w:pPr>
          </w:p>
        </w:tc>
        <w:tc>
          <w:tcPr>
            <w:tcW w:w="4077" w:type="dxa"/>
            <w:vMerge/>
            <w:hideMark/>
          </w:tcPr>
          <w:p w:rsidR="00CB72C6" w:rsidRPr="00171039" w:rsidRDefault="00CB72C6" w:rsidP="00EF3B04">
            <w:pPr>
              <w:rPr>
                <w:rFonts w:ascii="Times New Roman" w:hAnsi="Times New Roman" w:cs="Times New Roman"/>
              </w:rPr>
            </w:pPr>
          </w:p>
        </w:tc>
      </w:tr>
      <w:tr w:rsidR="006A48B0" w:rsidRPr="00171039" w:rsidTr="00A864F3">
        <w:trPr>
          <w:trHeight w:val="253"/>
        </w:trPr>
        <w:tc>
          <w:tcPr>
            <w:tcW w:w="705" w:type="dxa"/>
          </w:tcPr>
          <w:p w:rsidR="006A48B0" w:rsidRPr="00171039" w:rsidRDefault="006A48B0" w:rsidP="00EF3B04">
            <w:pPr>
              <w:rPr>
                <w:rFonts w:ascii="Times New Roman" w:hAnsi="Times New Roman" w:cs="Times New Roman"/>
              </w:rPr>
            </w:pPr>
            <w:r>
              <w:rPr>
                <w:rFonts w:ascii="Times New Roman" w:hAnsi="Times New Roman" w:cs="Times New Roman"/>
              </w:rPr>
              <w:t>2.</w:t>
            </w:r>
          </w:p>
        </w:tc>
        <w:tc>
          <w:tcPr>
            <w:tcW w:w="4504" w:type="dxa"/>
            <w:gridSpan w:val="2"/>
          </w:tcPr>
          <w:p w:rsidR="006A48B0" w:rsidRDefault="006A48B0" w:rsidP="006A48B0">
            <w:pPr>
              <w:rPr>
                <w:rFonts w:ascii="Times New Roman" w:hAnsi="Times New Roman" w:cs="Times New Roman"/>
              </w:rPr>
            </w:pPr>
          </w:p>
          <w:p w:rsidR="006A48B0" w:rsidRPr="006A48B0" w:rsidRDefault="006A48B0" w:rsidP="006A48B0">
            <w:pPr>
              <w:rPr>
                <w:rFonts w:ascii="Times New Roman" w:hAnsi="Times New Roman" w:cs="Times New Roman"/>
              </w:rPr>
            </w:pPr>
            <w:r w:rsidRPr="006A48B0">
              <w:rPr>
                <w:rFonts w:ascii="Times New Roman" w:hAnsi="Times New Roman" w:cs="Times New Roman"/>
              </w:rPr>
              <w:t>OPĆI UVJETI - OPREMA</w:t>
            </w:r>
          </w:p>
          <w:p w:rsidR="006A48B0" w:rsidRPr="006A48B0" w:rsidRDefault="006A48B0" w:rsidP="006A48B0">
            <w:pPr>
              <w:rPr>
                <w:rFonts w:ascii="Times New Roman" w:hAnsi="Times New Roman" w:cs="Times New Roman"/>
              </w:rPr>
            </w:pPr>
          </w:p>
          <w:p w:rsidR="006A48B0" w:rsidRPr="006A48B0" w:rsidRDefault="006A48B0" w:rsidP="006A48B0">
            <w:pPr>
              <w:rPr>
                <w:rFonts w:ascii="Times New Roman" w:hAnsi="Times New Roman" w:cs="Times New Roman"/>
              </w:rPr>
            </w:pPr>
            <w:r w:rsidRPr="006A48B0">
              <w:rPr>
                <w:rFonts w:ascii="Times New Roman" w:hAnsi="Times New Roman" w:cs="Times New Roman"/>
              </w:rPr>
              <w:t>Opis: Dozvoljena odstupanja u dimenzijama i karakteristikama opreme je ± 3,0 % (osim ako nije drugačije navedeno u opisu stavke).</w:t>
            </w:r>
          </w:p>
          <w:p w:rsidR="006A48B0" w:rsidRPr="006A48B0" w:rsidRDefault="006A48B0" w:rsidP="006A48B0">
            <w:pPr>
              <w:rPr>
                <w:rFonts w:ascii="Times New Roman" w:hAnsi="Times New Roman" w:cs="Times New Roman"/>
              </w:rPr>
            </w:pPr>
          </w:p>
          <w:p w:rsidR="006A48B0" w:rsidRPr="006A48B0" w:rsidRDefault="006A48B0" w:rsidP="006A48B0">
            <w:pPr>
              <w:rPr>
                <w:rFonts w:ascii="Times New Roman" w:hAnsi="Times New Roman" w:cs="Times New Roman"/>
              </w:rPr>
            </w:pPr>
            <w:r w:rsidRPr="006A48B0">
              <w:rPr>
                <w:rFonts w:ascii="Times New Roman" w:hAnsi="Times New Roman" w:cs="Times New Roman"/>
              </w:rPr>
              <w:t xml:space="preserve">Prijedlog izmjene: Dozvoljena odstupanja u dimenzijama i karakteristikama opreme je ± 5,0 </w:t>
            </w:r>
            <w:r w:rsidRPr="006A48B0">
              <w:rPr>
                <w:rFonts w:ascii="Times New Roman" w:hAnsi="Times New Roman" w:cs="Times New Roman"/>
              </w:rPr>
              <w:lastRenderedPageBreak/>
              <w:t>% (osim ako nije drugačije navedeno u opisu stavke).</w:t>
            </w:r>
          </w:p>
          <w:p w:rsidR="006A48B0" w:rsidRPr="006A48B0" w:rsidRDefault="006A48B0" w:rsidP="006A48B0">
            <w:pPr>
              <w:rPr>
                <w:rFonts w:ascii="Times New Roman" w:hAnsi="Times New Roman" w:cs="Times New Roman"/>
              </w:rPr>
            </w:pPr>
            <w:r w:rsidRPr="006A48B0">
              <w:rPr>
                <w:rFonts w:ascii="Times New Roman" w:hAnsi="Times New Roman" w:cs="Times New Roman"/>
              </w:rPr>
              <w:tab/>
            </w:r>
          </w:p>
          <w:p w:rsidR="006A48B0" w:rsidRPr="00171039" w:rsidRDefault="006A48B0" w:rsidP="006A48B0">
            <w:pPr>
              <w:rPr>
                <w:rFonts w:ascii="Times New Roman" w:hAnsi="Times New Roman" w:cs="Times New Roman"/>
              </w:rPr>
            </w:pPr>
            <w:r w:rsidRPr="006A48B0">
              <w:rPr>
                <w:rFonts w:ascii="Times New Roman" w:hAnsi="Times New Roman" w:cs="Times New Roman"/>
              </w:rPr>
              <w:t>Obrazloženje: Molimo da se dozvoljeno odstupanje u dimenzijama poveća na ± 5,0 %, s obzirom da artikli naše tvrtke u stavkama 1.01. te 1.03. u većini stavki zadovoljavaju specifikaciju, a na samo dvije dimenzije ne zadovoljavaju dozvoljeno odstupanje (vanjska širina kreveta 105 cm te masa kreveta 84 kg). Smatramo da promjena postotka odstupanje neće utjecati na preostale kvalitativne elemente specificiranih proizvoda, te da će značajan broj ponuđača moći udovoljiti traženim specifikacijama.</w:t>
            </w:r>
          </w:p>
        </w:tc>
        <w:tc>
          <w:tcPr>
            <w:tcW w:w="4077" w:type="dxa"/>
          </w:tcPr>
          <w:p w:rsidR="006A48B0" w:rsidRPr="00171039" w:rsidRDefault="00B14526" w:rsidP="00CD2D1F">
            <w:pPr>
              <w:rPr>
                <w:rFonts w:ascii="Times New Roman" w:hAnsi="Times New Roman" w:cs="Times New Roman"/>
              </w:rPr>
            </w:pPr>
            <w:r>
              <w:rPr>
                <w:rFonts w:ascii="Times New Roman" w:hAnsi="Times New Roman" w:cs="Times New Roman"/>
              </w:rPr>
              <w:lastRenderedPageBreak/>
              <w:t xml:space="preserve">Navedeni prijedlog se </w:t>
            </w:r>
            <w:r w:rsidR="00BD1BE7">
              <w:rPr>
                <w:rFonts w:ascii="Times New Roman" w:hAnsi="Times New Roman" w:cs="Times New Roman"/>
              </w:rPr>
              <w:t>prihvaća</w:t>
            </w:r>
            <w:r>
              <w:rPr>
                <w:rFonts w:ascii="Times New Roman" w:hAnsi="Times New Roman" w:cs="Times New Roman"/>
              </w:rPr>
              <w:t xml:space="preserve"> </w:t>
            </w:r>
            <w:r w:rsidR="00CD2D1F">
              <w:rPr>
                <w:rFonts w:ascii="Times New Roman" w:hAnsi="Times New Roman" w:cs="Times New Roman"/>
              </w:rPr>
              <w:t>na način da se tekst općih uvjeta vezan uz odstupanja promjeni u „</w:t>
            </w:r>
            <w:r w:rsidR="00CD2D1F" w:rsidRPr="00CD2D1F">
              <w:rPr>
                <w:rFonts w:ascii="Times New Roman" w:hAnsi="Times New Roman" w:cs="Times New Roman"/>
              </w:rPr>
              <w:t xml:space="preserve">Dozvoljena odstupanja u dimenzijama i karakteristikama opreme </w:t>
            </w:r>
            <w:r w:rsidR="00CD2D1F">
              <w:rPr>
                <w:rFonts w:ascii="Times New Roman" w:hAnsi="Times New Roman" w:cs="Times New Roman"/>
              </w:rPr>
              <w:t>su</w:t>
            </w:r>
            <w:r w:rsidR="00CD2D1F" w:rsidRPr="00CD2D1F">
              <w:rPr>
                <w:rFonts w:ascii="Times New Roman" w:hAnsi="Times New Roman" w:cs="Times New Roman"/>
              </w:rPr>
              <w:t xml:space="preserve"> ± </w:t>
            </w:r>
            <w:r w:rsidR="00CD2D1F">
              <w:rPr>
                <w:rFonts w:ascii="Times New Roman" w:hAnsi="Times New Roman" w:cs="Times New Roman"/>
              </w:rPr>
              <w:t>5</w:t>
            </w:r>
            <w:r w:rsidR="00CD2D1F" w:rsidRPr="00CD2D1F">
              <w:rPr>
                <w:rFonts w:ascii="Times New Roman" w:hAnsi="Times New Roman" w:cs="Times New Roman"/>
              </w:rPr>
              <w:t>,0 % (osim ako nije drugačije navedeno u opisu stavke).</w:t>
            </w:r>
            <w:r w:rsidR="00CD2D1F">
              <w:rPr>
                <w:rFonts w:ascii="Times New Roman" w:hAnsi="Times New Roman" w:cs="Times New Roman"/>
              </w:rPr>
              <w:t xml:space="preserve">“ </w:t>
            </w:r>
          </w:p>
        </w:tc>
      </w:tr>
    </w:tbl>
    <w:p w:rsidR="00472AF2" w:rsidRPr="00171039" w:rsidRDefault="00472AF2" w:rsidP="0077467E">
      <w:pPr>
        <w:rPr>
          <w:rFonts w:ascii="Times New Roman" w:hAnsi="Times New Roman" w:cs="Times New Roman"/>
        </w:rPr>
      </w:pPr>
      <w:bookmarkStart w:id="1" w:name="_GoBack"/>
      <w:bookmarkEnd w:id="1"/>
    </w:p>
    <w:sectPr w:rsidR="00472AF2" w:rsidRPr="00171039" w:rsidSect="00B7643B">
      <w:pgSz w:w="11906" w:h="16838"/>
      <w:pgMar w:top="119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ion Pro">
    <w:altName w:val="Times New Roman"/>
    <w:charset w:val="00"/>
    <w:family w:val="auto"/>
    <w:pitch w:val="default"/>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21B"/>
    <w:multiLevelType w:val="hybridMultilevel"/>
    <w:tmpl w:val="87F06ACA"/>
    <w:lvl w:ilvl="0" w:tplc="C0EA87F0">
      <w:start w:val="1"/>
      <w:numFmt w:val="decimal"/>
      <w:lvlText w:val="%1."/>
      <w:lvlJc w:val="left"/>
      <w:pPr>
        <w:ind w:left="720" w:hanging="360"/>
      </w:pPr>
      <w:rPr>
        <w:rFonts w:ascii="Minion Pro" w:eastAsia="Calibri" w:hAnsi="Minion Pro" w:hint="default"/>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391C32AF"/>
    <w:multiLevelType w:val="hybridMultilevel"/>
    <w:tmpl w:val="2D30DA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7568787A"/>
    <w:multiLevelType w:val="hybridMultilevel"/>
    <w:tmpl w:val="1076E2A0"/>
    <w:lvl w:ilvl="0" w:tplc="EB9424C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B97"/>
    <w:rsid w:val="00016D71"/>
    <w:rsid w:val="000722A4"/>
    <w:rsid w:val="0008171A"/>
    <w:rsid w:val="00096F73"/>
    <w:rsid w:val="000D174D"/>
    <w:rsid w:val="00105BC9"/>
    <w:rsid w:val="00111369"/>
    <w:rsid w:val="00171039"/>
    <w:rsid w:val="001809D0"/>
    <w:rsid w:val="001B6D8C"/>
    <w:rsid w:val="001D4124"/>
    <w:rsid w:val="001E5BC2"/>
    <w:rsid w:val="001F68D9"/>
    <w:rsid w:val="00222CDF"/>
    <w:rsid w:val="00253143"/>
    <w:rsid w:val="002D0EDC"/>
    <w:rsid w:val="00332648"/>
    <w:rsid w:val="0034058B"/>
    <w:rsid w:val="00370170"/>
    <w:rsid w:val="00383570"/>
    <w:rsid w:val="003B2DF1"/>
    <w:rsid w:val="00472AF2"/>
    <w:rsid w:val="0047630F"/>
    <w:rsid w:val="004D3F26"/>
    <w:rsid w:val="004E194B"/>
    <w:rsid w:val="00503EDE"/>
    <w:rsid w:val="00505E77"/>
    <w:rsid w:val="00516340"/>
    <w:rsid w:val="0052157A"/>
    <w:rsid w:val="00545FA0"/>
    <w:rsid w:val="0055023F"/>
    <w:rsid w:val="005E331E"/>
    <w:rsid w:val="006A48B0"/>
    <w:rsid w:val="006B026B"/>
    <w:rsid w:val="00760A6E"/>
    <w:rsid w:val="0077467E"/>
    <w:rsid w:val="00801F6D"/>
    <w:rsid w:val="00884D64"/>
    <w:rsid w:val="009C2A0D"/>
    <w:rsid w:val="009E1278"/>
    <w:rsid w:val="00A864F3"/>
    <w:rsid w:val="00A94A02"/>
    <w:rsid w:val="00A97147"/>
    <w:rsid w:val="00AA1821"/>
    <w:rsid w:val="00B14526"/>
    <w:rsid w:val="00B7643B"/>
    <w:rsid w:val="00B875C8"/>
    <w:rsid w:val="00BB019E"/>
    <w:rsid w:val="00BB5B97"/>
    <w:rsid w:val="00BC63AC"/>
    <w:rsid w:val="00BD1BE7"/>
    <w:rsid w:val="00C13EB9"/>
    <w:rsid w:val="00CB72C6"/>
    <w:rsid w:val="00CC2C4B"/>
    <w:rsid w:val="00CD2D1F"/>
    <w:rsid w:val="00CD58DB"/>
    <w:rsid w:val="00CD6B24"/>
    <w:rsid w:val="00D45981"/>
    <w:rsid w:val="00DE6D5D"/>
    <w:rsid w:val="00E641F7"/>
    <w:rsid w:val="00E73B51"/>
    <w:rsid w:val="00E752FF"/>
    <w:rsid w:val="00EA03A0"/>
    <w:rsid w:val="00EA7AF9"/>
    <w:rsid w:val="00EB1383"/>
    <w:rsid w:val="00EF3B04"/>
    <w:rsid w:val="00EF7A94"/>
    <w:rsid w:val="00F4087E"/>
    <w:rsid w:val="00F57275"/>
    <w:rsid w:val="00FA4839"/>
    <w:rsid w:val="00FB0D8F"/>
    <w:rsid w:val="00FD2CE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1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821"/>
    <w:rPr>
      <w:rFonts w:ascii="Tahoma" w:hAnsi="Tahoma" w:cs="Tahoma"/>
      <w:sz w:val="16"/>
      <w:szCs w:val="16"/>
    </w:rPr>
  </w:style>
  <w:style w:type="character" w:customStyle="1" w:styleId="ListParagraphChar">
    <w:name w:val="List Paragraph Char"/>
    <w:basedOn w:val="DefaultParagraphFont"/>
    <w:link w:val="ListParagraph"/>
    <w:uiPriority w:val="99"/>
    <w:locked/>
    <w:rsid w:val="006B026B"/>
    <w:rPr>
      <w:rFonts w:ascii="Calibri" w:hAnsi="Calibri"/>
    </w:rPr>
  </w:style>
  <w:style w:type="paragraph" w:styleId="ListParagraph">
    <w:name w:val="List Paragraph"/>
    <w:basedOn w:val="Normal"/>
    <w:link w:val="ListParagraphChar"/>
    <w:uiPriority w:val="99"/>
    <w:qFormat/>
    <w:rsid w:val="006B026B"/>
    <w:pPr>
      <w:spacing w:after="0" w:line="240" w:lineRule="auto"/>
      <w:ind w:left="720"/>
    </w:pPr>
    <w:rPr>
      <w:rFonts w:ascii="Calibri" w:hAnsi="Calibri"/>
    </w:rPr>
  </w:style>
  <w:style w:type="character" w:styleId="CommentReference">
    <w:name w:val="annotation reference"/>
    <w:basedOn w:val="DefaultParagraphFont"/>
    <w:semiHidden/>
    <w:unhideWhenUsed/>
    <w:rsid w:val="003B2DF1"/>
    <w:rPr>
      <w:sz w:val="16"/>
      <w:szCs w:val="16"/>
    </w:rPr>
  </w:style>
  <w:style w:type="paragraph" w:styleId="CommentText">
    <w:name w:val="annotation text"/>
    <w:basedOn w:val="Normal"/>
    <w:link w:val="CommentTextChar"/>
    <w:uiPriority w:val="99"/>
    <w:semiHidden/>
    <w:unhideWhenUsed/>
    <w:rsid w:val="003B2DF1"/>
    <w:pPr>
      <w:spacing w:line="240" w:lineRule="auto"/>
    </w:pPr>
    <w:rPr>
      <w:sz w:val="20"/>
      <w:szCs w:val="20"/>
    </w:rPr>
  </w:style>
  <w:style w:type="character" w:customStyle="1" w:styleId="CommentTextChar">
    <w:name w:val="Comment Text Char"/>
    <w:basedOn w:val="DefaultParagraphFont"/>
    <w:link w:val="CommentText"/>
    <w:uiPriority w:val="99"/>
    <w:semiHidden/>
    <w:rsid w:val="003B2DF1"/>
    <w:rPr>
      <w:sz w:val="20"/>
      <w:szCs w:val="20"/>
    </w:rPr>
  </w:style>
  <w:style w:type="paragraph" w:styleId="CommentSubject">
    <w:name w:val="annotation subject"/>
    <w:basedOn w:val="CommentText"/>
    <w:next w:val="CommentText"/>
    <w:link w:val="CommentSubjectChar"/>
    <w:uiPriority w:val="99"/>
    <w:semiHidden/>
    <w:unhideWhenUsed/>
    <w:rsid w:val="003B2DF1"/>
    <w:rPr>
      <w:b/>
      <w:bCs/>
    </w:rPr>
  </w:style>
  <w:style w:type="character" w:customStyle="1" w:styleId="CommentSubjectChar">
    <w:name w:val="Comment Subject Char"/>
    <w:basedOn w:val="CommentTextChar"/>
    <w:link w:val="CommentSubject"/>
    <w:uiPriority w:val="99"/>
    <w:semiHidden/>
    <w:rsid w:val="003B2DF1"/>
    <w:rPr>
      <w:b/>
      <w:bCs/>
      <w:sz w:val="20"/>
      <w:szCs w:val="20"/>
    </w:rPr>
  </w:style>
  <w:style w:type="paragraph" w:customStyle="1" w:styleId="Default">
    <w:name w:val="Default"/>
    <w:rsid w:val="009E1278"/>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uiPriority w:val="11"/>
    <w:qFormat/>
    <w:rsid w:val="000D174D"/>
    <w:pPr>
      <w:numPr>
        <w:ilvl w:val="1"/>
      </w:numPr>
      <w:spacing w:after="240" w:line="240" w:lineRule="auto"/>
    </w:pPr>
    <w:rPr>
      <w:rFonts w:ascii="Calibri Light" w:eastAsia="SimSun" w:hAnsi="Calibri Light" w:cs="Times New Roman"/>
      <w:color w:val="404040"/>
      <w:sz w:val="30"/>
      <w:szCs w:val="30"/>
      <w:lang w:eastAsia="hr-HR"/>
    </w:rPr>
  </w:style>
  <w:style w:type="character" w:customStyle="1" w:styleId="SubtitleChar">
    <w:name w:val="Subtitle Char"/>
    <w:basedOn w:val="DefaultParagraphFont"/>
    <w:link w:val="Subtitle"/>
    <w:uiPriority w:val="11"/>
    <w:rsid w:val="000D174D"/>
    <w:rPr>
      <w:rFonts w:ascii="Calibri Light" w:eastAsia="SimSun" w:hAnsi="Calibri Light" w:cs="Times New Roman"/>
      <w:color w:val="404040"/>
      <w:sz w:val="30"/>
      <w:szCs w:val="3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1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821"/>
    <w:rPr>
      <w:rFonts w:ascii="Tahoma" w:hAnsi="Tahoma" w:cs="Tahoma"/>
      <w:sz w:val="16"/>
      <w:szCs w:val="16"/>
    </w:rPr>
  </w:style>
  <w:style w:type="character" w:customStyle="1" w:styleId="ListParagraphChar">
    <w:name w:val="List Paragraph Char"/>
    <w:basedOn w:val="DefaultParagraphFont"/>
    <w:link w:val="ListParagraph"/>
    <w:uiPriority w:val="99"/>
    <w:locked/>
    <w:rsid w:val="006B026B"/>
    <w:rPr>
      <w:rFonts w:ascii="Calibri" w:hAnsi="Calibri"/>
    </w:rPr>
  </w:style>
  <w:style w:type="paragraph" w:styleId="ListParagraph">
    <w:name w:val="List Paragraph"/>
    <w:basedOn w:val="Normal"/>
    <w:link w:val="ListParagraphChar"/>
    <w:uiPriority w:val="99"/>
    <w:qFormat/>
    <w:rsid w:val="006B026B"/>
    <w:pPr>
      <w:spacing w:after="0" w:line="240" w:lineRule="auto"/>
      <w:ind w:left="720"/>
    </w:pPr>
    <w:rPr>
      <w:rFonts w:ascii="Calibri" w:hAnsi="Calibri"/>
    </w:rPr>
  </w:style>
  <w:style w:type="character" w:styleId="CommentReference">
    <w:name w:val="annotation reference"/>
    <w:basedOn w:val="DefaultParagraphFont"/>
    <w:semiHidden/>
    <w:unhideWhenUsed/>
    <w:rsid w:val="003B2DF1"/>
    <w:rPr>
      <w:sz w:val="16"/>
      <w:szCs w:val="16"/>
    </w:rPr>
  </w:style>
  <w:style w:type="paragraph" w:styleId="CommentText">
    <w:name w:val="annotation text"/>
    <w:basedOn w:val="Normal"/>
    <w:link w:val="CommentTextChar"/>
    <w:uiPriority w:val="99"/>
    <w:semiHidden/>
    <w:unhideWhenUsed/>
    <w:rsid w:val="003B2DF1"/>
    <w:pPr>
      <w:spacing w:line="240" w:lineRule="auto"/>
    </w:pPr>
    <w:rPr>
      <w:sz w:val="20"/>
      <w:szCs w:val="20"/>
    </w:rPr>
  </w:style>
  <w:style w:type="character" w:customStyle="1" w:styleId="CommentTextChar">
    <w:name w:val="Comment Text Char"/>
    <w:basedOn w:val="DefaultParagraphFont"/>
    <w:link w:val="CommentText"/>
    <w:uiPriority w:val="99"/>
    <w:semiHidden/>
    <w:rsid w:val="003B2DF1"/>
    <w:rPr>
      <w:sz w:val="20"/>
      <w:szCs w:val="20"/>
    </w:rPr>
  </w:style>
  <w:style w:type="paragraph" w:styleId="CommentSubject">
    <w:name w:val="annotation subject"/>
    <w:basedOn w:val="CommentText"/>
    <w:next w:val="CommentText"/>
    <w:link w:val="CommentSubjectChar"/>
    <w:uiPriority w:val="99"/>
    <w:semiHidden/>
    <w:unhideWhenUsed/>
    <w:rsid w:val="003B2DF1"/>
    <w:rPr>
      <w:b/>
      <w:bCs/>
    </w:rPr>
  </w:style>
  <w:style w:type="character" w:customStyle="1" w:styleId="CommentSubjectChar">
    <w:name w:val="Comment Subject Char"/>
    <w:basedOn w:val="CommentTextChar"/>
    <w:link w:val="CommentSubject"/>
    <w:uiPriority w:val="99"/>
    <w:semiHidden/>
    <w:rsid w:val="003B2DF1"/>
    <w:rPr>
      <w:b/>
      <w:bCs/>
      <w:sz w:val="20"/>
      <w:szCs w:val="20"/>
    </w:rPr>
  </w:style>
  <w:style w:type="paragraph" w:customStyle="1" w:styleId="Default">
    <w:name w:val="Default"/>
    <w:rsid w:val="009E1278"/>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uiPriority w:val="11"/>
    <w:qFormat/>
    <w:rsid w:val="000D174D"/>
    <w:pPr>
      <w:numPr>
        <w:ilvl w:val="1"/>
      </w:numPr>
      <w:spacing w:after="240" w:line="240" w:lineRule="auto"/>
    </w:pPr>
    <w:rPr>
      <w:rFonts w:ascii="Calibri Light" w:eastAsia="SimSun" w:hAnsi="Calibri Light" w:cs="Times New Roman"/>
      <w:color w:val="404040"/>
      <w:sz w:val="30"/>
      <w:szCs w:val="30"/>
      <w:lang w:eastAsia="hr-HR"/>
    </w:rPr>
  </w:style>
  <w:style w:type="character" w:customStyle="1" w:styleId="SubtitleChar">
    <w:name w:val="Subtitle Char"/>
    <w:basedOn w:val="DefaultParagraphFont"/>
    <w:link w:val="Subtitle"/>
    <w:uiPriority w:val="11"/>
    <w:rsid w:val="000D174D"/>
    <w:rPr>
      <w:rFonts w:ascii="Calibri Light" w:eastAsia="SimSun" w:hAnsi="Calibri Light" w:cs="Times New Roman"/>
      <w:color w:val="404040"/>
      <w:sz w:val="30"/>
      <w:szCs w:val="3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5370">
      <w:bodyDiv w:val="1"/>
      <w:marLeft w:val="0"/>
      <w:marRight w:val="0"/>
      <w:marTop w:val="0"/>
      <w:marBottom w:val="0"/>
      <w:divBdr>
        <w:top w:val="none" w:sz="0" w:space="0" w:color="auto"/>
        <w:left w:val="none" w:sz="0" w:space="0" w:color="auto"/>
        <w:bottom w:val="none" w:sz="0" w:space="0" w:color="auto"/>
        <w:right w:val="none" w:sz="0" w:space="0" w:color="auto"/>
      </w:divBdr>
    </w:div>
    <w:div w:id="125466507">
      <w:bodyDiv w:val="1"/>
      <w:marLeft w:val="0"/>
      <w:marRight w:val="0"/>
      <w:marTop w:val="0"/>
      <w:marBottom w:val="0"/>
      <w:divBdr>
        <w:top w:val="none" w:sz="0" w:space="0" w:color="auto"/>
        <w:left w:val="none" w:sz="0" w:space="0" w:color="auto"/>
        <w:bottom w:val="none" w:sz="0" w:space="0" w:color="auto"/>
        <w:right w:val="none" w:sz="0" w:space="0" w:color="auto"/>
      </w:divBdr>
    </w:div>
    <w:div w:id="393090117">
      <w:bodyDiv w:val="1"/>
      <w:marLeft w:val="0"/>
      <w:marRight w:val="0"/>
      <w:marTop w:val="0"/>
      <w:marBottom w:val="0"/>
      <w:divBdr>
        <w:top w:val="none" w:sz="0" w:space="0" w:color="auto"/>
        <w:left w:val="none" w:sz="0" w:space="0" w:color="auto"/>
        <w:bottom w:val="none" w:sz="0" w:space="0" w:color="auto"/>
        <w:right w:val="none" w:sz="0" w:space="0" w:color="auto"/>
      </w:divBdr>
    </w:div>
    <w:div w:id="520435503">
      <w:bodyDiv w:val="1"/>
      <w:marLeft w:val="0"/>
      <w:marRight w:val="0"/>
      <w:marTop w:val="0"/>
      <w:marBottom w:val="0"/>
      <w:divBdr>
        <w:top w:val="none" w:sz="0" w:space="0" w:color="auto"/>
        <w:left w:val="none" w:sz="0" w:space="0" w:color="auto"/>
        <w:bottom w:val="none" w:sz="0" w:space="0" w:color="auto"/>
        <w:right w:val="none" w:sz="0" w:space="0" w:color="auto"/>
      </w:divBdr>
    </w:div>
    <w:div w:id="709458123">
      <w:bodyDiv w:val="1"/>
      <w:marLeft w:val="0"/>
      <w:marRight w:val="0"/>
      <w:marTop w:val="0"/>
      <w:marBottom w:val="0"/>
      <w:divBdr>
        <w:top w:val="none" w:sz="0" w:space="0" w:color="auto"/>
        <w:left w:val="none" w:sz="0" w:space="0" w:color="auto"/>
        <w:bottom w:val="none" w:sz="0" w:space="0" w:color="auto"/>
        <w:right w:val="none" w:sz="0" w:space="0" w:color="auto"/>
      </w:divBdr>
    </w:div>
    <w:div w:id="131683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http://web.zpr.fer.hr/ergonomija/2004/hendija/slike/grb_zg.gi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FBAF3-A4EF-40E7-BDDC-1CC35592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502</Words>
  <Characters>2862</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Grad Zagreb</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dc:creator>
  <cp:lastModifiedBy>Kristina Vukadin</cp:lastModifiedBy>
  <cp:revision>4</cp:revision>
  <cp:lastPrinted>2017-09-13T11:48:00Z</cp:lastPrinted>
  <dcterms:created xsi:type="dcterms:W3CDTF">2017-11-24T12:55:00Z</dcterms:created>
  <dcterms:modified xsi:type="dcterms:W3CDTF">2017-11-24T13:02:00Z</dcterms:modified>
</cp:coreProperties>
</file>